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901306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01306" w:rsidRDefault="0081258D" w:rsidP="0090130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pict w14:anchorId="763E97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5.1pt;height:55.7pt;visibility:visible;mso-wrap-style:square">
                  <v:imagedata r:id="rId5" o:title=""/>
                </v:shape>
              </w:pict>
            </w:r>
          </w:p>
        </w:tc>
        <w:tc>
          <w:tcPr>
            <w:tcW w:w="5989" w:type="dxa"/>
            <w:vAlign w:val="center"/>
          </w:tcPr>
          <w:p w:rsidR="00901306" w:rsidRDefault="00901306" w:rsidP="00901306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901306" w:rsidRDefault="00F34A24" w:rsidP="00901306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01306" w:rsidRDefault="0059547B" w:rsidP="0090130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1D46B5B" wp14:editId="0D27474C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</w:t>
      </w:r>
      <w:r w:rsidR="00D15FBA">
        <w:rPr>
          <w:rFonts w:ascii="Times New Roman" w:hAnsi="Times New Roman" w:cs="Times New Roman"/>
          <w:b/>
          <w:spacing w:val="30"/>
          <w:sz w:val="28"/>
          <w:szCs w:val="20"/>
        </w:rPr>
        <w:t>`</w:t>
      </w: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jęz. </w:t>
            </w:r>
            <w:r w:rsidR="00DD762B">
              <w:rPr>
                <w:rFonts w:ascii="Times New Roman" w:hAnsi="Times New Roman" w:cs="Times New Roman"/>
                <w:sz w:val="24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9F7FC9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NOWE TRENDY W TOWAROZNAWSTWIE SPOŻYWCZYM</w:t>
            </w:r>
          </w:p>
        </w:tc>
      </w:tr>
      <w:tr w:rsidR="00EA2721" w:rsidRPr="00D53EB8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9F7FC9" w:rsidRDefault="009F7FC9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9F7FC9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NEW TRENDS IN COMMODITY SCIENCE</w:t>
            </w:r>
          </w:p>
        </w:tc>
      </w:tr>
    </w:tbl>
    <w:p w:rsidR="00177487" w:rsidRPr="009F7FC9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D53EB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9F7FC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9F7FC9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D15FB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9F7FC9">
              <w:rPr>
                <w:rFonts w:ascii="Times New Roman" w:hAnsi="Times New Roman" w:cs="Times New Roman"/>
                <w:b/>
                <w:sz w:val="24"/>
                <w:szCs w:val="20"/>
              </w:rPr>
              <w:t>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9F7FC9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D15FB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  <w:r w:rsidR="009F7FC9">
              <w:rPr>
                <w:rFonts w:ascii="Times New Roman" w:hAnsi="Times New Roman" w:cs="Times New Roman"/>
                <w:b/>
                <w:sz w:val="24"/>
                <w:szCs w:val="20"/>
              </w:rPr>
              <w:t>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D15FB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  <w:r w:rsidR="009F7FC9">
              <w:rPr>
                <w:rFonts w:ascii="Times New Roman" w:hAnsi="Times New Roman" w:cs="Times New Roman"/>
                <w:b/>
                <w:sz w:val="24"/>
                <w:szCs w:val="20"/>
              </w:rPr>
              <w:t>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4C4A53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5E7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/II</w:t>
            </w:r>
          </w:p>
        </w:tc>
        <w:tc>
          <w:tcPr>
            <w:tcW w:w="1701" w:type="dxa"/>
            <w:vAlign w:val="center"/>
          </w:tcPr>
          <w:p w:rsidR="006F6C43" w:rsidRPr="00367CCE" w:rsidRDefault="009F7FC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6F6C43" w:rsidRPr="00367CCE" w:rsidRDefault="009C54A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453395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9C54A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9F7FC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9C54AC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E46B3C" w:rsidRDefault="00E46B3C" w:rsidP="00845A37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E46B3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Studenci powinni posiadać wiedzę z zakresu towaroznawstwa artykułów spożywczych, metod badań jakości towarów oraz bezpieczeństwa żywności.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3D4D40" w:rsidRDefault="00E46B3C" w:rsidP="009C54AC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E46B3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Celem przedmiotu jest zapoznanie studentów ze szczegółowymi zagadnieniami dotyczącymi jakości nowych</w:t>
            </w:r>
            <w:r w:rsidR="009C54A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E46B3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produktów żywnościowych wraz z charakterystyką zastosowanych metod produkcji. </w:t>
            </w:r>
          </w:p>
          <w:p w:rsidR="004F47B4" w:rsidRPr="00B73E75" w:rsidRDefault="00E46B3C" w:rsidP="009C5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B3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Zakres ćwiczeń obejmuje ocenę</w:t>
            </w:r>
            <w:r w:rsidR="003D4D4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E46B3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jakości nowych produktów spożywczych z wybranych grup żywności.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EC7EB2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EC7EB2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:rsidTr="00845A37">
        <w:tc>
          <w:tcPr>
            <w:tcW w:w="959" w:type="dxa"/>
            <w:vAlign w:val="center"/>
          </w:tcPr>
          <w:p w:rsidR="006F6C43" w:rsidRPr="00B73E75" w:rsidRDefault="00C9558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4139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E46B3C" w:rsidRPr="00C9558B" w:rsidRDefault="00B53DEC" w:rsidP="009C54AC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tudent charakteryzuje dobór i wpływ surowców, procesów technologicznych oraz</w:t>
            </w:r>
          </w:p>
          <w:p w:rsidR="006F6C43" w:rsidRPr="00C9558B" w:rsidRDefault="00E46B3C" w:rsidP="009C54AC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opakowań na jakość nowych produktów spożywczych, wymienia dział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ania </w:t>
            </w:r>
            <w:r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podejmowane przez producentów żywności na rzecz ochrony środowiska, ocenia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właściwości nowych produktów spożywczych, wyjaśnia aspekty jakości </w:t>
            </w:r>
            <w:r w:rsidR="0045339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bezpieczeństwa tych produktów, potrafi pracować indywidualnie i w grupie,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wykazuje odpowiedzialność za powierzany sprzęt, za pracę własną i innych,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rozumie podstawowe zasady etyki.</w:t>
            </w:r>
          </w:p>
        </w:tc>
        <w:tc>
          <w:tcPr>
            <w:tcW w:w="2015" w:type="dxa"/>
            <w:vAlign w:val="center"/>
          </w:tcPr>
          <w:p w:rsidR="006F6C43" w:rsidRPr="00C9558B" w:rsidRDefault="002F2460" w:rsidP="002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NK_W05</w:t>
            </w:r>
          </w:p>
        </w:tc>
      </w:tr>
      <w:tr w:rsidR="00E46B3C" w:rsidRPr="00B73E75" w:rsidTr="00845A37">
        <w:tc>
          <w:tcPr>
            <w:tcW w:w="959" w:type="dxa"/>
            <w:vAlign w:val="center"/>
          </w:tcPr>
          <w:p w:rsidR="00E46B3C" w:rsidRPr="00B73E75" w:rsidRDefault="00C9558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4139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E46B3C" w:rsidRPr="00C9558B" w:rsidRDefault="00B53DEC" w:rsidP="009C54AC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tudent prezentuje wiedzę na temat nowych produktów spoż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ywczych oraz 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znajomość zasad planowania badań oraz nowocze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snych technik zbierania danych, 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przeprowadza analizę porównawczą cech jakoś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ci sensorycznej oraz zdrowotnej 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produktó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w 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spożywczych nowych oraz tradycyjnych w danej grupie żywnoś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ci, 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analizuje rynek nowych produktów na podstawie jego wartości i wielkoś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ci, 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wykazuje inicjatywę </w:t>
            </w:r>
            <w:r w:rsidR="00676A2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 działaniach, potrafi obiektywnie ocenić wkł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ad pracy 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własnej i innych, potrafi kierować małym zespołem.</w:t>
            </w:r>
          </w:p>
        </w:tc>
        <w:tc>
          <w:tcPr>
            <w:tcW w:w="2015" w:type="dxa"/>
            <w:vAlign w:val="center"/>
          </w:tcPr>
          <w:p w:rsidR="00E46B3C" w:rsidRPr="00C9558B" w:rsidRDefault="002F2460" w:rsidP="0041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NK_U04, NK_K03</w:t>
            </w:r>
          </w:p>
        </w:tc>
      </w:tr>
    </w:tbl>
    <w:p w:rsidR="00453395" w:rsidRDefault="00453395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6F6C43" w:rsidRPr="00B73E75" w:rsidTr="00845A37">
        <w:tc>
          <w:tcPr>
            <w:tcW w:w="959" w:type="dxa"/>
            <w:vAlign w:val="center"/>
          </w:tcPr>
          <w:p w:rsidR="006F6C43" w:rsidRPr="00B73E75" w:rsidRDefault="00C9558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4139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6F6C43" w:rsidRPr="00C9558B" w:rsidRDefault="00B53DEC" w:rsidP="009C54AC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tudent prezentuje znajomość bieżących problemó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w naukowych w 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towaroznawstwie spożywczym na podstawie aktualnych publikacji w wiodących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przeglądowych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czasopismach krajowych, cyt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uje regulacje prawne w zakresie 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bezpieczeństwa żywności, nakreśla kierunki rozwojowe w przemyś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le 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spożywczym, wyjaśnia zasady kształtowania ochrony i oceny jakoś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ci oraz 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bezpieczeństwa zdrowotnego produktów spożywczych, potrafi ocenić możliwość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wykorzystania nowych metod badawczych, wykazuje umiejętność postę</w:t>
            </w:r>
            <w:r w:rsid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powania w </w:t>
            </w:r>
            <w:r w:rsidR="00E46B3C" w:rsidRPr="00C955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nagłych stanach zagrożenia życia i zdrowia zespołów.</w:t>
            </w:r>
          </w:p>
        </w:tc>
        <w:tc>
          <w:tcPr>
            <w:tcW w:w="2015" w:type="dxa"/>
            <w:vAlign w:val="center"/>
          </w:tcPr>
          <w:p w:rsidR="006F6C43" w:rsidRPr="004139C0" w:rsidRDefault="002F2460" w:rsidP="004139C0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NK_W02, NK_W07, NK_U03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23400C">
        <w:tc>
          <w:tcPr>
            <w:tcW w:w="5778" w:type="dxa"/>
            <w:vAlign w:val="center"/>
          </w:tcPr>
          <w:p w:rsidR="00E41568" w:rsidRPr="0023400C" w:rsidRDefault="009F6ACB" w:rsidP="009C54AC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Nowe produkty mleczarskie.</w:t>
            </w:r>
            <w:r w:rsidR="004139C0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K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ształtowania, oceny i ochrony jakości produktów z wykorzystaniem</w:t>
            </w:r>
            <w:r w:rsidR="00845A37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metod sensorycznych, fizykoch</w:t>
            </w:r>
            <w:r w:rsidR="00845A37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emicznych i instrumentalnych,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zagadnień jakości </w:t>
            </w:r>
            <w:r w:rsidR="00676A2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 bezpieczeństwa</w:t>
            </w:r>
            <w:r w:rsidR="00845A37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zdrowotnego surowców i 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produktów oraz opakowań i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zagospodarowania odpadów poprodukcyjnych.</w:t>
            </w:r>
          </w:p>
        </w:tc>
        <w:tc>
          <w:tcPr>
            <w:tcW w:w="567" w:type="dxa"/>
            <w:vAlign w:val="center"/>
          </w:tcPr>
          <w:p w:rsidR="00E41568" w:rsidRPr="0023400C" w:rsidRDefault="002F2460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E41568" w:rsidRPr="0023400C" w:rsidRDefault="00E41568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23400C" w:rsidRDefault="00E41568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23400C" w:rsidRDefault="00E41568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9F6ACB" w:rsidRPr="0023400C" w:rsidRDefault="009F6ACB" w:rsidP="009F6ACB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23400C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1, EKP</w:t>
            </w:r>
            <w:r w:rsidR="0023400C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2,</w:t>
            </w:r>
          </w:p>
          <w:p w:rsidR="00E41568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23400C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4F47B4" w:rsidRPr="00B73E75" w:rsidTr="0023400C">
        <w:tc>
          <w:tcPr>
            <w:tcW w:w="5778" w:type="dxa"/>
            <w:vAlign w:val="center"/>
          </w:tcPr>
          <w:p w:rsidR="004F47B4" w:rsidRPr="0023400C" w:rsidRDefault="009F6ACB" w:rsidP="009C54AC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Nowe produkty mięsn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 i rybne. K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ształtowania, oceny i ochrony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jakości produktów z wykorzystaniem metod sensorycznych, fizykochemicznych i instrumentalnych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zagadnień jakości </w:t>
            </w:r>
            <w:r w:rsidR="00676A2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 bezpieczeństwa zdrowotnego surowców i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produktów oraz opakowań i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zagospodarowania odpadów poprodukcyjnych.</w:t>
            </w:r>
          </w:p>
        </w:tc>
        <w:tc>
          <w:tcPr>
            <w:tcW w:w="567" w:type="dxa"/>
            <w:vAlign w:val="center"/>
          </w:tcPr>
          <w:p w:rsidR="004F47B4" w:rsidRPr="0023400C" w:rsidRDefault="002F2460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F47B4" w:rsidRPr="0023400C" w:rsidRDefault="004F47B4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23400C" w:rsidRDefault="004F47B4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23400C" w:rsidRDefault="004F47B4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3400C" w:rsidRPr="0023400C" w:rsidRDefault="0023400C" w:rsidP="0023400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4F47B4" w:rsidRPr="0023400C" w:rsidRDefault="0023400C" w:rsidP="0023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9F6ACB" w:rsidRPr="00B73E75" w:rsidTr="0023400C">
        <w:tc>
          <w:tcPr>
            <w:tcW w:w="5778" w:type="dxa"/>
            <w:vAlign w:val="center"/>
          </w:tcPr>
          <w:p w:rsidR="009F6ACB" w:rsidRPr="0023400C" w:rsidRDefault="009F6ACB" w:rsidP="009C54AC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Nowe produkty w zakresie przypraw, używek oraz ek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straktów ziół. K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ształtowania, oceny i ochrony jakości produktów </w:t>
            </w:r>
            <w:r w:rsidR="00676A2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 wykorzystaniem metod sensorycznych,</w:t>
            </w:r>
          </w:p>
          <w:p w:rsidR="009F6ACB" w:rsidRPr="0023400C" w:rsidRDefault="009F6ACB" w:rsidP="009C54AC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fizykochemicznych i 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instrumentalnych,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zagadnień jakości </w:t>
            </w:r>
            <w:r w:rsidR="00676A2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 bezpieczeństwa zdrowotnego surowców i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produktów oraz opakowań oraz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zagospodarowania odpadów poprodukcyjnych.</w:t>
            </w:r>
          </w:p>
        </w:tc>
        <w:tc>
          <w:tcPr>
            <w:tcW w:w="567" w:type="dxa"/>
            <w:vAlign w:val="center"/>
          </w:tcPr>
          <w:p w:rsidR="009F6ACB" w:rsidRPr="0023400C" w:rsidRDefault="002F2460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3400C" w:rsidRPr="0023400C" w:rsidRDefault="0023400C" w:rsidP="0023400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9F6ACB" w:rsidRPr="0023400C" w:rsidRDefault="0023400C" w:rsidP="0023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9F6ACB" w:rsidRPr="00B73E75" w:rsidTr="0023400C">
        <w:tc>
          <w:tcPr>
            <w:tcW w:w="5778" w:type="dxa"/>
            <w:vAlign w:val="center"/>
          </w:tcPr>
          <w:p w:rsidR="009F6ACB" w:rsidRPr="0023400C" w:rsidRDefault="009F6ACB" w:rsidP="009C54AC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Nowe produkty w zakresie napojów bezalk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oholowych. K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ształtowania,</w:t>
            </w:r>
            <w:r w:rsidR="00225C8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oceny i ochrony jakości produktów z wykorzystaniem metod sensorycznych, fizykochemicznych </w:t>
            </w:r>
            <w:r w:rsidR="00676A2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instrumentalnych,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zagadnień jakości i bezpieczeństwa zdrowotnego surowców i produktów oraz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opakowań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zagospodarowania odpadów poprodukcyjnych.</w:t>
            </w:r>
          </w:p>
        </w:tc>
        <w:tc>
          <w:tcPr>
            <w:tcW w:w="567" w:type="dxa"/>
            <w:vAlign w:val="center"/>
          </w:tcPr>
          <w:p w:rsidR="009F6ACB" w:rsidRPr="0023400C" w:rsidRDefault="002F2460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3400C" w:rsidRPr="0023400C" w:rsidRDefault="0023400C" w:rsidP="0023400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9F6ACB" w:rsidRPr="0023400C" w:rsidRDefault="0023400C" w:rsidP="0023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9F6ACB" w:rsidRPr="00B73E75" w:rsidTr="0023400C">
        <w:tc>
          <w:tcPr>
            <w:tcW w:w="5778" w:type="dxa"/>
            <w:vAlign w:val="center"/>
          </w:tcPr>
          <w:p w:rsidR="009F6ACB" w:rsidRPr="0023400C" w:rsidRDefault="009F6ACB" w:rsidP="009C54AC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Nowe produkty w branży zbożowej oraz owocowo - wa</w:t>
            </w:r>
            <w:r w:rsidR="00233FC6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rzywnej. K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ształtowania, oceny i ochrony jakości produktów </w:t>
            </w:r>
            <w:r w:rsidR="00676A2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 wykorzystaniem metod sensorycznych,</w:t>
            </w:r>
            <w:r w:rsidR="00225C8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fizykoche</w:t>
            </w:r>
            <w:r w:rsidR="00225C8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micznych </w:t>
            </w:r>
            <w:r w:rsidR="00676A2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="00225C8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i instrumentalnych,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zagadnień jakości i bezpieczeństwa zdrowotnego surowców i</w:t>
            </w:r>
            <w:r w:rsidR="0023400C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225C8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produktów oraz opakowań oraz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zagospodarowania odpadów poprodukcyjnych.</w:t>
            </w:r>
          </w:p>
        </w:tc>
        <w:tc>
          <w:tcPr>
            <w:tcW w:w="567" w:type="dxa"/>
            <w:vAlign w:val="center"/>
          </w:tcPr>
          <w:p w:rsidR="009F6ACB" w:rsidRPr="0023400C" w:rsidRDefault="002F2460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3400C" w:rsidRPr="0023400C" w:rsidRDefault="0023400C" w:rsidP="0023400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9F6ACB" w:rsidRPr="0023400C" w:rsidRDefault="0023400C" w:rsidP="0023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9F6ACB" w:rsidRPr="00B73E75" w:rsidTr="0023400C">
        <w:tc>
          <w:tcPr>
            <w:tcW w:w="5778" w:type="dxa"/>
            <w:vAlign w:val="center"/>
          </w:tcPr>
          <w:p w:rsidR="009F6ACB" w:rsidRPr="0023400C" w:rsidRDefault="009F6ACB" w:rsidP="009C5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towaroznawcza wybranych nowych produktów mleczarskich.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3400C" w:rsidRPr="0023400C" w:rsidRDefault="0023400C" w:rsidP="0023400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9F6ACB" w:rsidRPr="0023400C" w:rsidRDefault="0023400C" w:rsidP="0023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9F6ACB" w:rsidRPr="00B73E75" w:rsidTr="0023400C">
        <w:tc>
          <w:tcPr>
            <w:tcW w:w="5778" w:type="dxa"/>
            <w:vAlign w:val="center"/>
          </w:tcPr>
          <w:p w:rsidR="009F6ACB" w:rsidRPr="0023400C" w:rsidRDefault="009F6ACB" w:rsidP="009C5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towaroznawcza wybranych nowych przypraw i używek.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3400C" w:rsidRPr="0023400C" w:rsidRDefault="0023400C" w:rsidP="0023400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9F6ACB" w:rsidRPr="0023400C" w:rsidRDefault="0023400C" w:rsidP="0023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9F6ACB" w:rsidRPr="00B73E75" w:rsidTr="0023400C">
        <w:tc>
          <w:tcPr>
            <w:tcW w:w="5778" w:type="dxa"/>
            <w:vAlign w:val="center"/>
          </w:tcPr>
          <w:p w:rsidR="009F6ACB" w:rsidRPr="0023400C" w:rsidRDefault="009F6ACB" w:rsidP="009C5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Ocena towaroznawcza wybranych nowych produktów mięsnych </w:t>
            </w:r>
            <w:r w:rsidR="00676A2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 rybnych.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3400C" w:rsidRPr="0023400C" w:rsidRDefault="0023400C" w:rsidP="0023400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9F6ACB" w:rsidRPr="0023400C" w:rsidRDefault="0023400C" w:rsidP="0023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9F6ACB" w:rsidRPr="00B73E75" w:rsidTr="0023400C">
        <w:tc>
          <w:tcPr>
            <w:tcW w:w="5778" w:type="dxa"/>
            <w:vAlign w:val="center"/>
          </w:tcPr>
          <w:p w:rsidR="009F6ACB" w:rsidRPr="0023400C" w:rsidRDefault="009F6ACB" w:rsidP="009C5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towaroznawcza wybranych nowych rodzajów napojów bezalkoholowych.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3400C" w:rsidRPr="0023400C" w:rsidRDefault="0023400C" w:rsidP="0023400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9F6ACB" w:rsidRPr="0023400C" w:rsidRDefault="0023400C" w:rsidP="0023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9F6ACB" w:rsidRPr="00B73E75" w:rsidTr="0023400C">
        <w:tc>
          <w:tcPr>
            <w:tcW w:w="5778" w:type="dxa"/>
            <w:vAlign w:val="center"/>
          </w:tcPr>
          <w:p w:rsidR="009F6ACB" w:rsidRPr="0023400C" w:rsidRDefault="009F6ACB" w:rsidP="009C5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towaroznawcza wybranych nowych produktów przetwarzania zbóż, owoców i warzyw.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F6ACB" w:rsidRPr="0023400C" w:rsidRDefault="009F6ACB" w:rsidP="009F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3400C" w:rsidRPr="0023400C" w:rsidRDefault="0023400C" w:rsidP="0023400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9F6ACB" w:rsidRPr="0023400C" w:rsidRDefault="0023400C" w:rsidP="0023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62757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9F6AC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3D4D40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814290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3D4D40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3D4D40">
        <w:tc>
          <w:tcPr>
            <w:tcW w:w="893" w:type="dxa"/>
            <w:vAlign w:val="center"/>
          </w:tcPr>
          <w:p w:rsidR="00B73E75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23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vAlign w:val="center"/>
          </w:tcPr>
          <w:p w:rsidR="00B73E75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73E75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B73E75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3D4D40">
        <w:tc>
          <w:tcPr>
            <w:tcW w:w="893" w:type="dxa"/>
            <w:vAlign w:val="center"/>
          </w:tcPr>
          <w:p w:rsidR="00B73E75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23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  <w:vAlign w:val="center"/>
          </w:tcPr>
          <w:p w:rsidR="00B73E75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73E75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B73E75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28F" w:rsidRPr="00B73E75" w:rsidTr="003D4D40">
        <w:tc>
          <w:tcPr>
            <w:tcW w:w="893" w:type="dxa"/>
            <w:vAlign w:val="center"/>
          </w:tcPr>
          <w:p w:rsidR="003E728F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23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  <w:vAlign w:val="center"/>
          </w:tcPr>
          <w:p w:rsidR="003E728F" w:rsidRPr="00B73E75" w:rsidRDefault="00225C8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3E728F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3E728F" w:rsidRPr="00B73E75" w:rsidRDefault="0023400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3E728F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3E728F" w:rsidRPr="00B73E75" w:rsidRDefault="0023400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  <w:vAlign w:val="center"/>
          </w:tcPr>
          <w:p w:rsidR="003E728F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3E728F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E728F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3E728F" w:rsidRPr="00B73E75" w:rsidRDefault="003E728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6A29" w:rsidRDefault="00676A2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6A29" w:rsidRDefault="00676A2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:rsidTr="00633F37">
        <w:tc>
          <w:tcPr>
            <w:tcW w:w="10060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Kryteria zaliczenia przedmiotu</w:t>
            </w:r>
          </w:p>
        </w:tc>
      </w:tr>
      <w:tr w:rsidR="00E41568" w:rsidTr="00633F37">
        <w:tc>
          <w:tcPr>
            <w:tcW w:w="10060" w:type="dxa"/>
          </w:tcPr>
          <w:p w:rsidR="00E41568" w:rsidRPr="0023400C" w:rsidRDefault="009F6ACB" w:rsidP="009C54AC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Uzyskanie, co najmniej 60% punktów oznacza zaliczenie egzaminu z wynikiem pozytywnym. Zaliczenie ćwiczeń student uzyskuje na podstawie</w:t>
            </w:r>
            <w:r w:rsid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100% obecności na planowanych zajęciach laboratoryjnych, zaliczenia wszystkich sprawozdań </w:t>
            </w:r>
            <w:r w:rsidR="00EE171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 tych zajęć oraz uzyskania co najmniej 60%</w:t>
            </w:r>
            <w:r w:rsid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punktów testu pisemnego.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DC238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3E728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B53DE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EF662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B53DE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B53DE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B53DE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B53DE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633F3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DC238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E765C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B53DEC">
        <w:trPr>
          <w:trHeight w:val="165"/>
        </w:trPr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B53DE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B53DE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81258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bookmarkStart w:id="0" w:name="_GoBack"/>
            <w:bookmarkEnd w:id="0"/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3E728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B53DE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F4700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2A4EA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DC238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04FAF" w:rsidTr="00633F37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9168A8" w:rsidTr="00633F37">
        <w:tc>
          <w:tcPr>
            <w:tcW w:w="10060" w:type="dxa"/>
          </w:tcPr>
          <w:p w:rsidR="009168A8" w:rsidRPr="0023400C" w:rsidRDefault="00460598" w:rsidP="009168A8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Biller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E.</w:t>
            </w:r>
            <w:r w:rsidR="009168A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 w:rsidR="009168A8" w:rsidRPr="0023400C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Technologia żywności – wybrane zagadnienia</w:t>
            </w:r>
            <w:r w:rsidR="009168A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SGGW, Warszawa  2005</w:t>
            </w:r>
          </w:p>
          <w:p w:rsidR="009168A8" w:rsidRPr="0023400C" w:rsidRDefault="009168A8" w:rsidP="009168A8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Gerting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H., </w:t>
            </w:r>
            <w:proofErr w:type="spellStart"/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Przysławski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J., </w:t>
            </w:r>
            <w:r w:rsidRPr="0023400C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Bromatologia. Zarys nauki o żywności i żywieniu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 PZWL Warszawa, 2006</w:t>
            </w:r>
          </w:p>
          <w:p w:rsidR="009168A8" w:rsidRDefault="009168A8" w:rsidP="009168A8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Małecka M.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(red.),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23400C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Żywność bezpieczna dla konsumenta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Zeszyty Naukowe,  Wyd. AE,  Poznań 2006</w:t>
            </w:r>
          </w:p>
          <w:p w:rsidR="009168A8" w:rsidRPr="0023400C" w:rsidRDefault="009168A8" w:rsidP="009168A8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Rutkowski  A. (red.), </w:t>
            </w:r>
            <w:r w:rsidRPr="0023400C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Kompendium dodatków do żywności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Hortimex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 Konin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2003</w:t>
            </w:r>
          </w:p>
          <w:p w:rsidR="009168A8" w:rsidRPr="002A4EA0" w:rsidRDefault="002A4EA0" w:rsidP="002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Świderski F. (red.),</w:t>
            </w:r>
            <w:r w:rsidRPr="0031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6B1">
              <w:rPr>
                <w:rFonts w:ascii="Times New Roman" w:hAnsi="Times New Roman" w:cs="Times New Roman"/>
                <w:i/>
                <w:sz w:val="20"/>
                <w:szCs w:val="20"/>
              </w:rPr>
              <w:t>Towaroznawstwo żywności przetworz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onej z elementami technologii,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Wyd. SGGW, Warszawa 2010</w:t>
            </w:r>
          </w:p>
        </w:tc>
      </w:tr>
      <w:tr w:rsidR="00404FAF" w:rsidTr="00633F37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9168A8" w:rsidTr="00633F37">
        <w:tc>
          <w:tcPr>
            <w:tcW w:w="10060" w:type="dxa"/>
          </w:tcPr>
          <w:p w:rsidR="009168A8" w:rsidRDefault="009168A8" w:rsidP="009168A8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Flaczyk</w:t>
            </w:r>
            <w:proofErr w:type="spellEnd"/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E.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Górecka D., Korczak J. (red.),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23400C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Towaroznawstwo produktów spożywczych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Wyd.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Akademii Rolniczej, Poznań 2006</w:t>
            </w:r>
          </w:p>
          <w:p w:rsidR="009168A8" w:rsidRDefault="009168A8" w:rsidP="009168A8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Gaw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ęcki J., Hryniewiecki L. (red.),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B57C85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Kompendium wiedzy o żywności, żywieniu i zdrowiu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Wydawni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ctwo Naukowe PWN, Warszawa 2004</w:t>
            </w:r>
          </w:p>
          <w:p w:rsidR="00E10E9C" w:rsidRPr="00E10E9C" w:rsidRDefault="00460598" w:rsidP="00E10E9C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7" w:history="1">
              <w:r w:rsidR="00E10E9C" w:rsidRPr="00E10E9C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Mitek M. </w:t>
              </w:r>
            </w:hyperlink>
            <w:r w:rsidR="00E10E9C" w:rsidRPr="00E10E9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 </w:t>
            </w:r>
            <w:hyperlink r:id="rId8" w:history="1">
              <w:r w:rsidR="00E10E9C" w:rsidRPr="00E10E9C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Leszczyński K.</w:t>
              </w:r>
            </w:hyperlink>
            <w:r w:rsidR="00E10E9C" w:rsidRPr="00E10E9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(red.), </w:t>
            </w:r>
            <w:r w:rsidR="00E10E9C" w:rsidRPr="00E10E9C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0"/>
                <w:szCs w:val="20"/>
                <w:lang w:eastAsia="pl-PL"/>
              </w:rPr>
              <w:t>Wybrane zagadnienia z technologii żywności pochodzenia roślinnego.</w:t>
            </w:r>
            <w:r w:rsidR="00E10E9C" w:rsidRPr="00E10E9C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pl-PL"/>
              </w:rPr>
              <w:t xml:space="preserve"> Wyd. SGGW, Warszawa 2014.</w:t>
            </w:r>
          </w:p>
          <w:p w:rsidR="009168A8" w:rsidRDefault="009168A8" w:rsidP="00916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Instrukcje oraz specyfikacje technologiczne dla nowych wyrobów</w:t>
            </w:r>
            <w:r w:rsidR="002A4EA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973"/>
        <w:gridCol w:w="4087"/>
      </w:tblGrid>
      <w:tr w:rsidR="00E71601" w:rsidRPr="008D62DB" w:rsidTr="00633F37">
        <w:tc>
          <w:tcPr>
            <w:tcW w:w="10060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633F37">
        <w:tc>
          <w:tcPr>
            <w:tcW w:w="5973" w:type="dxa"/>
          </w:tcPr>
          <w:p w:rsidR="008D62DB" w:rsidRPr="0023400C" w:rsidRDefault="003E728F" w:rsidP="0023400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dr inż. Beata Borkowska</w:t>
            </w:r>
          </w:p>
        </w:tc>
        <w:tc>
          <w:tcPr>
            <w:tcW w:w="4087" w:type="dxa"/>
          </w:tcPr>
          <w:p w:rsidR="008D62DB" w:rsidRDefault="009C54AC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3400C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  <w:tr w:rsidR="008D62DB" w:rsidRPr="00E71601" w:rsidTr="00633F37">
        <w:tc>
          <w:tcPr>
            <w:tcW w:w="10060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633F37">
        <w:tc>
          <w:tcPr>
            <w:tcW w:w="5973" w:type="dxa"/>
          </w:tcPr>
          <w:p w:rsidR="009F6ACB" w:rsidRPr="0023400C" w:rsidRDefault="009F6ACB" w:rsidP="0023400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014AE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prof. dr hab. inż. </w:t>
            </w: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</w:t>
            </w:r>
            <w:r w:rsidR="00D15FB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iotr Bykowski</w:t>
            </w:r>
          </w:p>
          <w:p w:rsidR="009F6ACB" w:rsidRPr="0023400C" w:rsidRDefault="009F6ACB" w:rsidP="0023400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prof. dr hab. Maria Ś</w:t>
            </w:r>
            <w:r w:rsidR="003E728F"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miechowska</w:t>
            </w:r>
          </w:p>
          <w:p w:rsidR="008D62DB" w:rsidRPr="0023400C" w:rsidRDefault="009F6ACB" w:rsidP="0023400C">
            <w:pPr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dr inż. Ewa Stasiuk</w:t>
            </w:r>
          </w:p>
          <w:p w:rsidR="0023400C" w:rsidRDefault="0023400C" w:rsidP="00234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0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dr inż. Jadwiga Stankiewicz</w:t>
            </w:r>
          </w:p>
        </w:tc>
        <w:tc>
          <w:tcPr>
            <w:tcW w:w="4087" w:type="dxa"/>
          </w:tcPr>
          <w:p w:rsidR="008D62DB" w:rsidRDefault="009C54AC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3400C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  <w:p w:rsidR="0023400C" w:rsidRDefault="009C54AC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3400C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  <w:p w:rsidR="0023400C" w:rsidRDefault="009C54AC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3400C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  <w:p w:rsidR="0023400C" w:rsidRDefault="009C54AC" w:rsidP="00EF6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3400C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14AE4"/>
    <w:rsid w:val="00082D00"/>
    <w:rsid w:val="000A4CC2"/>
    <w:rsid w:val="000B20E5"/>
    <w:rsid w:val="001251EC"/>
    <w:rsid w:val="001671B0"/>
    <w:rsid w:val="00177487"/>
    <w:rsid w:val="00182CF9"/>
    <w:rsid w:val="001A1E43"/>
    <w:rsid w:val="001E5FE3"/>
    <w:rsid w:val="00225C80"/>
    <w:rsid w:val="00231DE0"/>
    <w:rsid w:val="00233FC6"/>
    <w:rsid w:val="0023400C"/>
    <w:rsid w:val="00250A61"/>
    <w:rsid w:val="00264119"/>
    <w:rsid w:val="00267183"/>
    <w:rsid w:val="00296265"/>
    <w:rsid w:val="002A4EA0"/>
    <w:rsid w:val="002D26E6"/>
    <w:rsid w:val="002D2A9C"/>
    <w:rsid w:val="002E722C"/>
    <w:rsid w:val="002F2460"/>
    <w:rsid w:val="002F33B0"/>
    <w:rsid w:val="00311C4F"/>
    <w:rsid w:val="00315479"/>
    <w:rsid w:val="00354A3D"/>
    <w:rsid w:val="003616FC"/>
    <w:rsid w:val="00367CCE"/>
    <w:rsid w:val="003A6F9E"/>
    <w:rsid w:val="003D4D40"/>
    <w:rsid w:val="003E728F"/>
    <w:rsid w:val="00404FAF"/>
    <w:rsid w:val="00412278"/>
    <w:rsid w:val="004139C0"/>
    <w:rsid w:val="00453395"/>
    <w:rsid w:val="00460598"/>
    <w:rsid w:val="0046763D"/>
    <w:rsid w:val="00475AF0"/>
    <w:rsid w:val="00476252"/>
    <w:rsid w:val="00476965"/>
    <w:rsid w:val="00477A2B"/>
    <w:rsid w:val="004801A8"/>
    <w:rsid w:val="00482229"/>
    <w:rsid w:val="00494002"/>
    <w:rsid w:val="004B1FB2"/>
    <w:rsid w:val="004B44E6"/>
    <w:rsid w:val="004C4A53"/>
    <w:rsid w:val="004F47B4"/>
    <w:rsid w:val="00510EFC"/>
    <w:rsid w:val="005202F1"/>
    <w:rsid w:val="00550A4F"/>
    <w:rsid w:val="0058657A"/>
    <w:rsid w:val="0059547B"/>
    <w:rsid w:val="005A766B"/>
    <w:rsid w:val="005E7C31"/>
    <w:rsid w:val="00602719"/>
    <w:rsid w:val="00620D57"/>
    <w:rsid w:val="00624A5D"/>
    <w:rsid w:val="00633F37"/>
    <w:rsid w:val="00643104"/>
    <w:rsid w:val="00651F07"/>
    <w:rsid w:val="00670D90"/>
    <w:rsid w:val="00676A29"/>
    <w:rsid w:val="00686652"/>
    <w:rsid w:val="006C49E5"/>
    <w:rsid w:val="006F6C43"/>
    <w:rsid w:val="006F6ED3"/>
    <w:rsid w:val="007234F3"/>
    <w:rsid w:val="0079419B"/>
    <w:rsid w:val="007A0D66"/>
    <w:rsid w:val="007A5B94"/>
    <w:rsid w:val="007A74A3"/>
    <w:rsid w:val="007D165E"/>
    <w:rsid w:val="0081258D"/>
    <w:rsid w:val="00814290"/>
    <w:rsid w:val="00842790"/>
    <w:rsid w:val="00845A37"/>
    <w:rsid w:val="008D62DB"/>
    <w:rsid w:val="00901306"/>
    <w:rsid w:val="009168A8"/>
    <w:rsid w:val="00934797"/>
    <w:rsid w:val="009C54AC"/>
    <w:rsid w:val="009F6ACB"/>
    <w:rsid w:val="009F7358"/>
    <w:rsid w:val="009F7FC9"/>
    <w:rsid w:val="00A727FE"/>
    <w:rsid w:val="00AB075F"/>
    <w:rsid w:val="00AC54E4"/>
    <w:rsid w:val="00B204A5"/>
    <w:rsid w:val="00B53DEC"/>
    <w:rsid w:val="00B55209"/>
    <w:rsid w:val="00B57C85"/>
    <w:rsid w:val="00B73E75"/>
    <w:rsid w:val="00B8606B"/>
    <w:rsid w:val="00B913D6"/>
    <w:rsid w:val="00B95CA8"/>
    <w:rsid w:val="00BE53F6"/>
    <w:rsid w:val="00BF2BD0"/>
    <w:rsid w:val="00C11EFA"/>
    <w:rsid w:val="00C9558B"/>
    <w:rsid w:val="00C97E91"/>
    <w:rsid w:val="00CA27ED"/>
    <w:rsid w:val="00CC4A9E"/>
    <w:rsid w:val="00CF0B22"/>
    <w:rsid w:val="00CF45EF"/>
    <w:rsid w:val="00D013A6"/>
    <w:rsid w:val="00D15FBA"/>
    <w:rsid w:val="00D176CF"/>
    <w:rsid w:val="00D21955"/>
    <w:rsid w:val="00D53EB8"/>
    <w:rsid w:val="00D871B3"/>
    <w:rsid w:val="00DC238B"/>
    <w:rsid w:val="00DC23D9"/>
    <w:rsid w:val="00DD762B"/>
    <w:rsid w:val="00E10E9C"/>
    <w:rsid w:val="00E135CF"/>
    <w:rsid w:val="00E41568"/>
    <w:rsid w:val="00E46B3C"/>
    <w:rsid w:val="00E61BE4"/>
    <w:rsid w:val="00E71601"/>
    <w:rsid w:val="00E765CD"/>
    <w:rsid w:val="00EA2721"/>
    <w:rsid w:val="00EC7EB2"/>
    <w:rsid w:val="00EE1715"/>
    <w:rsid w:val="00EF662A"/>
    <w:rsid w:val="00F0402C"/>
    <w:rsid w:val="00F114BB"/>
    <w:rsid w:val="00F21C3F"/>
    <w:rsid w:val="00F34A24"/>
    <w:rsid w:val="00F379F2"/>
    <w:rsid w:val="00F45073"/>
    <w:rsid w:val="00F4700F"/>
    <w:rsid w:val="00F62757"/>
    <w:rsid w:val="00F77452"/>
    <w:rsid w:val="00F77CEF"/>
    <w:rsid w:val="00FA07ED"/>
    <w:rsid w:val="00FB1DCC"/>
    <w:rsid w:val="00FD54FC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8AA8"/>
  <w15:docId w15:val="{C4DB3CE5-DB70-4A48-BD27-DD037FD0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0E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10E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E10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dawnictwosggw.pl/s/wyniki/k/autor/id/514/Leszczynski-Krzyszto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ydawnictwosggw.pl/s/wyniki/k/autor/id/281/Mitek-Marta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9F4F9-9876-4D1D-94D9-82F8AD29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Agawa</cp:lastModifiedBy>
  <cp:revision>2</cp:revision>
  <dcterms:created xsi:type="dcterms:W3CDTF">2021-05-29T13:16:00Z</dcterms:created>
  <dcterms:modified xsi:type="dcterms:W3CDTF">2021-05-29T13:16:00Z</dcterms:modified>
</cp:coreProperties>
</file>